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0" w:lineRule="exact"/>
        <w:ind w:left="0" w:leftChars="0" w:right="0"/>
        <w:jc w:val="center"/>
        <w:textAlignment w:val="auto"/>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t>人防行业信用分级分类监管制度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0" w:lineRule="exact"/>
        <w:ind w:left="0" w:leftChars="0" w:right="0" w:firstLine="641"/>
        <w:jc w:val="center"/>
        <w:textAlignment w:val="auto"/>
        <w:rPr>
          <w:rFonts w:hint="eastAsia" w:ascii="方正小标宋简体" w:hAnsi="方正小标宋简体" w:eastAsia="方正小标宋简体" w:cs="方正小标宋简体"/>
          <w:i w:val="0"/>
          <w:caps w:val="0"/>
          <w:color w:val="000000"/>
          <w:spacing w:val="0"/>
          <w:kern w:val="0"/>
          <w:sz w:val="32"/>
          <w:szCs w:val="32"/>
          <w:shd w:val="clear" w:color="auto" w:fill="FFFFFF"/>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第一条</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 xml:space="preserve">  </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为加强人防领域信用体系建设，充分发挥守信激励和失信惩戒机制作用，进一步规范市场秩序，激发市场活力</w:t>
      </w:r>
      <w:r>
        <w:rPr>
          <w:rFonts w:hint="eastAsia" w:ascii="仿宋_GB2312" w:hAnsi="仿宋_GB2312" w:eastAsia="仿宋_GB2312" w:cs="仿宋_GB2312"/>
          <w:i w:val="0"/>
          <w:caps w:val="0"/>
          <w:color w:val="000000"/>
          <w:spacing w:val="0"/>
          <w:kern w:val="0"/>
          <w:sz w:val="32"/>
          <w:szCs w:val="32"/>
          <w:shd w:val="clear" w:color="auto" w:fill="FFFFFF"/>
          <w:lang w:val="en" w:eastAsia="zh-CN" w:bidi="ar"/>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根据国务院《关于建立完善守信联合激励和失信联合惩戒制度加快推进社会诚信建设的指导意见》、国家人防办《关于建立人民防空行业市场责任主体失信惩戒制度的实施意见（试行）》和《河南省人民防空工程“黑名单”管理暂行办法》精神，为更好的应用省级公共信用综合评价结果，结合我办实际，制定本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0" w:lineRule="exact"/>
        <w:ind w:left="0" w:leftChars="0" w:right="0" w:firstLine="640" w:firstLineChars="200"/>
        <w:jc w:val="both"/>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第二条</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 xml:space="preserve">  </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本制度适用于本市行政区域内人防行业从业单位进行信用评价分级，并依据信用评价分级情况实施分类监管。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0" w:lineRule="exact"/>
        <w:ind w:left="0" w:leftChars="0" w:right="0" w:firstLine="640" w:firstLineChars="200"/>
        <w:jc w:val="both"/>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第三条</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 xml:space="preserve">  </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人防行业信用分级分类管理包括从业单位信用信息归集、信用评价分级、信用信息公布、成果运用等内容。</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both"/>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sz w:val="32"/>
          <w:szCs w:val="32"/>
          <w:shd w:val="clear" w:color="auto" w:fill="FFFFFF"/>
        </w:rPr>
        <w:t>第四条 </w:t>
      </w:r>
      <w:r>
        <w:rPr>
          <w:rFonts w:hint="eastAsia" w:ascii="仿宋_GB2312" w:hAnsi="Times New Roman"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市人防办负责本行政区域内人防行业从业单位的信用信息归集、更新和信用管理工作 。</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sz w:val="32"/>
          <w:szCs w:val="32"/>
          <w:shd w:val="clear" w:color="auto" w:fill="FFFFFF"/>
          <w:lang w:eastAsia="zh-CN"/>
        </w:rPr>
        <w:t>第五条</w:t>
      </w:r>
      <w:r>
        <w:rPr>
          <w:rFonts w:hint="eastAsia" w:ascii="黑体" w:hAnsi="黑体" w:eastAsia="黑体" w:cs="黑体"/>
          <w:i w:val="0"/>
          <w:caps w:val="0"/>
          <w:color w:val="000000"/>
          <w:spacing w:val="0"/>
          <w:sz w:val="32"/>
          <w:szCs w:val="32"/>
          <w:shd w:val="clear" w:color="auto" w:fill="FFFFFF"/>
          <w:lang w:val="en-US" w:eastAsia="zh-CN"/>
        </w:rPr>
        <w:t xml:space="preserve"> </w:t>
      </w:r>
      <w:r>
        <w:rPr>
          <w:rFonts w:hint="eastAsia" w:ascii="仿宋_GB2312" w:hAnsi="Times New Roman"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信用分级分类标准</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信用评分。</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信用等级基准分值为 85分，发生良好行为予以加分；发生不良行为予以减分，累计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分值</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为信用分值，分值上限为100分。</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第十一条  本信用管理信息同时上报省人防办，以便对本市以外人防行业从业单位的管理。</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良好信用信息行为是指人防从业单位严格遵守国家法律法规和各项规章制度，诚实守信经营，维护正常市场经营秩序，</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受到</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市级（含）以上各级政府</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或</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相关行政部门表彰，或市人防办认为可记入良好行为的信息，</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经审核后</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国家级每项加10分，省级每项加5分，市级每项加2分</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left"/>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不良信用信息行为是指人防从业单位不遵守国家法律法规和各项规章制度，不诚信经营，扰乱市场经营秩序，或市人防办认为可记入不良行为的信息，经审核后每项减2分。但从业单位存在弄虚作假、欺上瞒下、拒绝阻挠执法、藏匿销毁证据资料、拒不履行行政处罚决定、严重扰乱市场秩序、同一年度内多次出现不良信用信息行为或同一行为条例多条减分条件等情形，每项减10分。</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left"/>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sz w:val="32"/>
          <w:szCs w:val="32"/>
          <w:shd w:val="clear" w:color="auto" w:fill="FFFFFF"/>
          <w:lang w:eastAsia="zh-CN"/>
        </w:rPr>
        <w:t>第六条</w:t>
      </w:r>
      <w:r>
        <w:rPr>
          <w:rFonts w:hint="eastAsia" w:ascii="黑体" w:hAnsi="黑体" w:eastAsia="黑体" w:cs="黑体"/>
          <w:i w:val="0"/>
          <w:caps w:val="0"/>
          <w:color w:val="000000"/>
          <w:spacing w:val="0"/>
          <w:sz w:val="32"/>
          <w:szCs w:val="32"/>
          <w:shd w:val="clear" w:color="auto" w:fill="FFFFFF"/>
          <w:lang w:val="en-US" w:eastAsia="zh-CN"/>
        </w:rPr>
        <w:t xml:space="preserve"> </w:t>
      </w:r>
      <w:r>
        <w:rPr>
          <w:rFonts w:hint="eastAsia" w:ascii="仿宋_GB2312" w:hAnsi="Times New Roman"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信用等级划分。从业单位</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信用分值在 </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90</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分（含）以上的为A级（信用良好）；信用分值在75分（含）～8</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9</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分之间的为B级（信用</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一般</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）；信用分值在60分（含）～74分之间的为C级（</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不良信用</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；信用分值在60分以下不再进行评价分级。</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both"/>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sz w:val="32"/>
          <w:szCs w:val="32"/>
          <w:shd w:val="clear" w:color="auto" w:fill="FFFFFF"/>
        </w:rPr>
        <w:t>第七条 </w:t>
      </w:r>
      <w:r>
        <w:rPr>
          <w:rFonts w:hint="eastAsia" w:ascii="仿宋_GB2312" w:hAnsi="Times New Roman"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对年度信用等级评定为A级的人防行业从业单位采取以下奖励措施：</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 w:eastAsia="zh-CN" w:bidi="ar"/>
        </w:rPr>
        <w:t>（一）</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在相关网站进行信息公示，在人防领域通报表彰，相应减少检查频次；</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（二）在行政许可、监督管理等公共服务过程中开辟绿色通道，给予便利支持；</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（三）通报其他相关政府部门，实施联合奖励；</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both"/>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（四）国家规定的其他激励措施。</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both"/>
        <w:textAlignment w:val="auto"/>
        <w:rPr>
          <w:rFonts w:hint="default" w:ascii="仿宋_GB2312" w:hAnsi="仿宋_GB2312" w:eastAsia="仿宋_GB2312" w:cs="仿宋_GB2312"/>
          <w:i w:val="0"/>
          <w:caps w:val="0"/>
          <w:color w:val="000000"/>
          <w:spacing w:val="0"/>
          <w:kern w:val="0"/>
          <w:sz w:val="32"/>
          <w:szCs w:val="32"/>
          <w:shd w:val="clear" w:color="auto" w:fill="FFFFFF"/>
          <w:lang w:val="en" w:eastAsia="zh-CN" w:bidi="ar"/>
        </w:rPr>
      </w:pPr>
      <w:r>
        <w:rPr>
          <w:rFonts w:hint="eastAsia" w:ascii="黑体" w:hAnsi="黑体" w:eastAsia="黑体" w:cs="黑体"/>
          <w:i w:val="0"/>
          <w:caps w:val="0"/>
          <w:color w:val="000000"/>
          <w:spacing w:val="0"/>
          <w:sz w:val="32"/>
          <w:szCs w:val="32"/>
          <w:shd w:val="clear" w:color="auto" w:fill="FFFFFF"/>
        </w:rPr>
        <w:t>第</w:t>
      </w:r>
      <w:r>
        <w:rPr>
          <w:rFonts w:hint="eastAsia" w:ascii="黑体" w:hAnsi="黑体" w:eastAsia="黑体" w:cs="黑体"/>
          <w:i w:val="0"/>
          <w:caps w:val="0"/>
          <w:color w:val="000000"/>
          <w:spacing w:val="0"/>
          <w:sz w:val="32"/>
          <w:szCs w:val="32"/>
          <w:shd w:val="clear" w:color="auto" w:fill="FFFFFF"/>
          <w:lang w:eastAsia="zh-CN"/>
        </w:rPr>
        <w:t>八</w:t>
      </w:r>
      <w:r>
        <w:rPr>
          <w:rFonts w:hint="eastAsia" w:ascii="黑体" w:hAnsi="黑体" w:eastAsia="黑体" w:cs="黑体"/>
          <w:i w:val="0"/>
          <w:caps w:val="0"/>
          <w:color w:val="000000"/>
          <w:spacing w:val="0"/>
          <w:sz w:val="32"/>
          <w:szCs w:val="32"/>
          <w:shd w:val="clear" w:color="auto" w:fill="FFFFFF"/>
        </w:rPr>
        <w:t>条</w:t>
      </w:r>
      <w:r>
        <w:rPr>
          <w:rFonts w:hint="eastAsia" w:ascii="仿宋_GB2312" w:hAnsi="Times New Roman" w:eastAsia="仿宋_GB2312" w:cs="仿宋_GB2312"/>
          <w:i w:val="0"/>
          <w:caps w:val="0"/>
          <w:color w:val="000000"/>
          <w:spacing w:val="0"/>
          <w:sz w:val="32"/>
          <w:szCs w:val="32"/>
          <w:shd w:val="clear" w:color="auto" w:fill="FFFFFF"/>
          <w:lang w:val="en-US" w:eastAsia="zh-CN"/>
        </w:rPr>
        <w:t xml:space="preserve"> </w:t>
      </w:r>
      <w:r>
        <w:rPr>
          <w:rFonts w:hint="eastAsia" w:ascii="仿宋_GB2312" w:hAnsi="Times New Roman"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i w:val="0"/>
          <w:caps w:val="0"/>
          <w:color w:val="000000"/>
          <w:spacing w:val="0"/>
          <w:kern w:val="0"/>
          <w:sz w:val="32"/>
          <w:szCs w:val="32"/>
          <w:shd w:val="clear" w:color="auto" w:fill="FFFFFF"/>
          <w:lang w:val="en" w:eastAsia="zh-CN" w:bidi="ar"/>
        </w:rPr>
        <w:t>对年度信用等级评定为B级的人防行业从业单位，保持日常监督检查力度，加强针对性的监督检查，督促其守法诚信从业。</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rPr>
          <w:rFonts w:hint="default" w:ascii="仿宋_GB2312" w:hAnsi="仿宋_GB2312" w:eastAsia="仿宋_GB2312" w:cs="仿宋_GB2312"/>
          <w:i w:val="0"/>
          <w:caps w:val="0"/>
          <w:color w:val="000000"/>
          <w:spacing w:val="0"/>
          <w:kern w:val="0"/>
          <w:sz w:val="32"/>
          <w:szCs w:val="32"/>
          <w:shd w:val="clear" w:color="auto" w:fill="FFFFFF"/>
          <w:lang w:val="en" w:eastAsia="zh-CN" w:bidi="ar"/>
        </w:rPr>
      </w:pPr>
      <w:r>
        <w:rPr>
          <w:rFonts w:hint="eastAsia" w:ascii="黑体" w:hAnsi="黑体" w:eastAsia="黑体" w:cs="黑体"/>
          <w:i w:val="0"/>
          <w:caps w:val="0"/>
          <w:color w:val="000000"/>
          <w:spacing w:val="0"/>
          <w:sz w:val="32"/>
          <w:szCs w:val="32"/>
          <w:shd w:val="clear" w:color="auto" w:fill="FFFFFF"/>
        </w:rPr>
        <w:t>第</w:t>
      </w:r>
      <w:r>
        <w:rPr>
          <w:rFonts w:hint="eastAsia" w:ascii="黑体" w:hAnsi="黑体" w:eastAsia="黑体" w:cs="黑体"/>
          <w:i w:val="0"/>
          <w:caps w:val="0"/>
          <w:color w:val="000000"/>
          <w:spacing w:val="0"/>
          <w:sz w:val="32"/>
          <w:szCs w:val="32"/>
          <w:shd w:val="clear" w:color="auto" w:fill="FFFFFF"/>
          <w:lang w:eastAsia="zh-CN"/>
        </w:rPr>
        <w:t>九</w:t>
      </w:r>
      <w:r>
        <w:rPr>
          <w:rFonts w:hint="eastAsia" w:ascii="黑体" w:hAnsi="黑体" w:eastAsia="黑体" w:cs="黑体"/>
          <w:i w:val="0"/>
          <w:caps w:val="0"/>
          <w:color w:val="000000"/>
          <w:spacing w:val="0"/>
          <w:sz w:val="32"/>
          <w:szCs w:val="32"/>
          <w:shd w:val="clear" w:color="auto" w:fill="FFFFFF"/>
        </w:rPr>
        <w:t>条</w:t>
      </w:r>
      <w:r>
        <w:rPr>
          <w:rFonts w:hint="eastAsia" w:ascii="黑体" w:hAnsi="黑体" w:eastAsia="黑体" w:cs="黑体"/>
          <w:i w:val="0"/>
          <w:caps w:val="0"/>
          <w:color w:val="000000"/>
          <w:spacing w:val="0"/>
          <w:sz w:val="32"/>
          <w:szCs w:val="32"/>
          <w:shd w:val="clear" w:color="auto" w:fill="FFFFFF"/>
          <w:lang w:val="en-US" w:eastAsia="zh-CN"/>
        </w:rPr>
        <w:t xml:space="preserve"> </w:t>
      </w:r>
      <w:r>
        <w:rPr>
          <w:rFonts w:hint="eastAsia" w:ascii="仿宋_GB2312" w:hAnsi="Times New Roman"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i w:val="0"/>
          <w:caps w:val="0"/>
          <w:color w:val="000000"/>
          <w:spacing w:val="0"/>
          <w:kern w:val="0"/>
          <w:sz w:val="32"/>
          <w:szCs w:val="32"/>
          <w:shd w:val="clear" w:color="auto" w:fill="FFFFFF"/>
          <w:lang w:val="en" w:eastAsia="zh-CN" w:bidi="ar"/>
        </w:rPr>
        <w:t>对年度信用等级评定为C级的人防行业从业单位采取以下惩戒措施：</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 w:eastAsia="zh-CN" w:bidi="ar"/>
        </w:rPr>
        <w:t>（一）列入重点监管对象，增加检查频次，并对单位负责人进行约谈；</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 w:eastAsia="zh-CN" w:bidi="ar"/>
        </w:rPr>
        <w:t>（二）在行政许可、监督管理等公共服务过程中，列入重点核查对象，并列入“黑名单”管理；</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rPr>
          <w:rFonts w:hint="default" w:ascii="仿宋_GB2312" w:hAnsi="仿宋_GB2312" w:eastAsia="仿宋_GB2312" w:cs="仿宋_GB2312"/>
          <w:i w:val="0"/>
          <w:caps w:val="0"/>
          <w:color w:val="000000"/>
          <w:spacing w:val="0"/>
          <w:kern w:val="0"/>
          <w:sz w:val="32"/>
          <w:szCs w:val="32"/>
          <w:shd w:val="clear" w:color="auto" w:fill="FFFFFF"/>
          <w:lang w:val="en"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 w:eastAsia="zh-CN" w:bidi="ar"/>
        </w:rPr>
        <w:t>（三）通报其他相关政府部门，进行联合惩戒；</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rPr>
          <w:rFonts w:hint="default" w:ascii="仿宋_GB2312" w:hAnsi="仿宋_GB2312" w:eastAsia="仿宋_GB2312" w:cs="仿宋_GB2312"/>
          <w:i w:val="0"/>
          <w:caps w:val="0"/>
          <w:color w:val="000000"/>
          <w:spacing w:val="0"/>
          <w:kern w:val="0"/>
          <w:sz w:val="32"/>
          <w:szCs w:val="32"/>
          <w:shd w:val="clear" w:color="auto" w:fill="FFFFFF"/>
          <w:lang w:val="en"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 w:eastAsia="zh-CN" w:bidi="ar"/>
        </w:rPr>
        <w:t>（四）国家规定的其他惩戒措施。</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both"/>
        <w:textAlignment w:val="auto"/>
        <w:rPr>
          <w:rFonts w:hint="default" w:ascii="仿宋_GB2312" w:hAnsi="仿宋_GB2312" w:eastAsia="仿宋_GB2312" w:cs="仿宋_GB2312"/>
          <w:i w:val="0"/>
          <w:caps w:val="0"/>
          <w:color w:val="000000"/>
          <w:spacing w:val="0"/>
          <w:kern w:val="0"/>
          <w:sz w:val="32"/>
          <w:szCs w:val="32"/>
          <w:shd w:val="clear" w:color="auto" w:fill="FFFFFF"/>
          <w:lang w:val="en" w:eastAsia="zh-CN" w:bidi="ar"/>
        </w:rPr>
      </w:pPr>
      <w:r>
        <w:rPr>
          <w:rFonts w:hint="eastAsia" w:ascii="黑体" w:hAnsi="黑体" w:eastAsia="黑体" w:cs="黑体"/>
          <w:i w:val="0"/>
          <w:caps w:val="0"/>
          <w:color w:val="000000"/>
          <w:spacing w:val="0"/>
          <w:sz w:val="32"/>
          <w:szCs w:val="32"/>
          <w:shd w:val="clear" w:color="auto" w:fill="FFFFFF"/>
        </w:rPr>
        <w:t>第</w:t>
      </w:r>
      <w:r>
        <w:rPr>
          <w:rFonts w:hint="eastAsia" w:ascii="黑体" w:hAnsi="黑体" w:eastAsia="黑体" w:cs="黑体"/>
          <w:i w:val="0"/>
          <w:caps w:val="0"/>
          <w:color w:val="000000"/>
          <w:spacing w:val="0"/>
          <w:sz w:val="32"/>
          <w:szCs w:val="32"/>
          <w:shd w:val="clear" w:color="auto" w:fill="FFFFFF"/>
          <w:lang w:eastAsia="zh-CN"/>
        </w:rPr>
        <w:t>十</w:t>
      </w:r>
      <w:r>
        <w:rPr>
          <w:rFonts w:hint="eastAsia" w:ascii="黑体" w:hAnsi="黑体" w:eastAsia="黑体" w:cs="黑体"/>
          <w:i w:val="0"/>
          <w:caps w:val="0"/>
          <w:color w:val="000000"/>
          <w:spacing w:val="0"/>
          <w:sz w:val="32"/>
          <w:szCs w:val="32"/>
          <w:shd w:val="clear" w:color="auto" w:fill="FFFFFF"/>
        </w:rPr>
        <w:t>条</w:t>
      </w:r>
      <w:r>
        <w:rPr>
          <w:rFonts w:hint="eastAsia" w:ascii="仿宋_GB2312" w:hAnsi="Times New Roman" w:eastAsia="仿宋_GB2312" w:cs="仿宋_GB2312"/>
          <w:i w:val="0"/>
          <w:caps w:val="0"/>
          <w:color w:val="000000"/>
          <w:spacing w:val="0"/>
          <w:sz w:val="32"/>
          <w:szCs w:val="32"/>
          <w:shd w:val="clear" w:color="auto" w:fill="FFFFFF"/>
          <w:lang w:val="en-US" w:eastAsia="zh-CN"/>
        </w:rPr>
        <w:t xml:space="preserve"> </w:t>
      </w:r>
      <w:r>
        <w:rPr>
          <w:rFonts w:hint="eastAsia" w:ascii="仿宋_GB2312" w:hAnsi="Times New Roman" w:eastAsia="仿宋_GB2312" w:cs="仿宋_GB2312"/>
          <w:i w:val="0"/>
          <w:caps w:val="0"/>
          <w:color w:val="000000"/>
          <w:spacing w:val="0"/>
          <w:sz w:val="32"/>
          <w:szCs w:val="32"/>
          <w:shd w:val="clear" w:color="auto" w:fill="FFFFFF"/>
        </w:rPr>
        <w:t> </w:t>
      </w:r>
      <w:r>
        <w:rPr>
          <w:rFonts w:hint="eastAsia" w:ascii="仿宋_GB2312" w:hAnsi="仿宋_GB2312" w:eastAsia="仿宋_GB2312" w:cs="仿宋_GB2312"/>
          <w:i w:val="0"/>
          <w:caps w:val="0"/>
          <w:color w:val="000000"/>
          <w:spacing w:val="0"/>
          <w:kern w:val="0"/>
          <w:sz w:val="32"/>
          <w:szCs w:val="32"/>
          <w:shd w:val="clear" w:color="auto" w:fill="FFFFFF"/>
          <w:lang w:val="en" w:eastAsia="zh-CN" w:bidi="ar"/>
        </w:rPr>
        <w:t>信用信息审核管理工作人员应当认真履行职责，保证信用评价的公平、公正与公开。</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both"/>
        <w:textAlignment w:val="auto"/>
        <w:rPr>
          <w:rFonts w:hint="default" w:ascii="仿宋_GB2312" w:hAnsi="仿宋_GB2312" w:eastAsia="仿宋_GB2312" w:cs="仿宋_GB2312"/>
          <w:i w:val="0"/>
          <w:caps w:val="0"/>
          <w:color w:val="000000"/>
          <w:spacing w:val="0"/>
          <w:kern w:val="0"/>
          <w:sz w:val="32"/>
          <w:szCs w:val="32"/>
          <w:shd w:val="clear" w:color="auto" w:fill="FFFFFF"/>
          <w:lang w:val="en" w:eastAsia="zh-CN" w:bidi="ar"/>
        </w:rPr>
      </w:pPr>
      <w:r>
        <w:rPr>
          <w:rFonts w:hint="eastAsia" w:ascii="黑体" w:hAnsi="黑体" w:eastAsia="黑体" w:cs="黑体"/>
          <w:i w:val="0"/>
          <w:caps w:val="0"/>
          <w:color w:val="000000"/>
          <w:spacing w:val="0"/>
          <w:sz w:val="32"/>
          <w:szCs w:val="32"/>
          <w:shd w:val="clear" w:color="auto" w:fill="FFFFFF"/>
        </w:rPr>
        <w:t>第十</w:t>
      </w:r>
      <w:r>
        <w:rPr>
          <w:rFonts w:hint="eastAsia" w:ascii="黑体" w:hAnsi="黑体" w:eastAsia="黑体" w:cs="黑体"/>
          <w:i w:val="0"/>
          <w:caps w:val="0"/>
          <w:color w:val="000000"/>
          <w:spacing w:val="0"/>
          <w:sz w:val="32"/>
          <w:szCs w:val="32"/>
          <w:shd w:val="clear" w:color="auto" w:fill="FFFFFF"/>
          <w:lang w:eastAsia="zh-CN"/>
        </w:rPr>
        <w:t>一</w:t>
      </w:r>
      <w:r>
        <w:rPr>
          <w:rFonts w:hint="eastAsia" w:ascii="黑体" w:hAnsi="黑体" w:eastAsia="黑体" w:cs="黑体"/>
          <w:i w:val="0"/>
          <w:caps w:val="0"/>
          <w:color w:val="000000"/>
          <w:spacing w:val="0"/>
          <w:sz w:val="32"/>
          <w:szCs w:val="32"/>
          <w:shd w:val="clear" w:color="auto" w:fill="FFFFFF"/>
        </w:rPr>
        <w:t>条 </w:t>
      </w:r>
      <w:r>
        <w:rPr>
          <w:rFonts w:hint="eastAsia" w:ascii="仿宋_GB2312" w:hAnsi="Times New Roman"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kern w:val="0"/>
          <w:sz w:val="32"/>
          <w:szCs w:val="32"/>
          <w:shd w:val="clear" w:color="auto" w:fill="FFFFFF"/>
          <w:lang w:val="en" w:eastAsia="zh-CN" w:bidi="ar"/>
        </w:rPr>
        <w:t>本信用管理信息同时上报省人防办，以便对本市以外人防行业从业单位的管理。</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both"/>
        <w:textAlignment w:val="auto"/>
        <w:rPr>
          <w:rFonts w:ascii="仿宋_GB2312" w:hAnsi="仿宋_GB2312" w:eastAsia="仿宋_GB2312" w:cs="仿宋_GB2312"/>
          <w:sz w:val="28"/>
          <w:szCs w:val="28"/>
        </w:rPr>
      </w:pPr>
      <w:r>
        <w:rPr>
          <w:rFonts w:hint="eastAsia" w:ascii="黑体" w:hAnsi="黑体" w:eastAsia="黑体" w:cs="黑体"/>
          <w:i w:val="0"/>
          <w:caps w:val="0"/>
          <w:color w:val="000000"/>
          <w:spacing w:val="0"/>
          <w:sz w:val="32"/>
          <w:szCs w:val="32"/>
          <w:shd w:val="clear" w:color="auto" w:fill="FFFFFF"/>
        </w:rPr>
        <w:t>第十</w:t>
      </w:r>
      <w:r>
        <w:rPr>
          <w:rFonts w:hint="eastAsia" w:ascii="黑体" w:hAnsi="黑体" w:eastAsia="黑体" w:cs="黑体"/>
          <w:i w:val="0"/>
          <w:caps w:val="0"/>
          <w:color w:val="000000"/>
          <w:spacing w:val="0"/>
          <w:sz w:val="32"/>
          <w:szCs w:val="32"/>
          <w:shd w:val="clear" w:color="auto" w:fill="FFFFFF"/>
          <w:lang w:eastAsia="zh-CN"/>
        </w:rPr>
        <w:t>二</w:t>
      </w:r>
      <w:r>
        <w:rPr>
          <w:rFonts w:hint="eastAsia" w:ascii="黑体" w:hAnsi="黑体" w:eastAsia="黑体" w:cs="黑体"/>
          <w:i w:val="0"/>
          <w:caps w:val="0"/>
          <w:color w:val="000000"/>
          <w:spacing w:val="0"/>
          <w:sz w:val="32"/>
          <w:szCs w:val="32"/>
          <w:shd w:val="clear" w:color="auto" w:fill="FFFFFF"/>
        </w:rPr>
        <w:t>条 </w:t>
      </w:r>
      <w:r>
        <w:rPr>
          <w:rFonts w:hint="eastAsia" w:ascii="仿宋_GB2312" w:hAnsi="Times New Roman"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kern w:val="0"/>
          <w:sz w:val="32"/>
          <w:szCs w:val="32"/>
          <w:shd w:val="clear" w:color="auto" w:fill="FFFFFF"/>
          <w:lang w:val="en" w:eastAsia="zh-CN" w:bidi="ar"/>
        </w:rPr>
        <w:t>本制度自印发之日起施行。</w:t>
      </w:r>
      <w:bookmarkStart w:id="0" w:name="_GoBack"/>
      <w:bookmarkEnd w:id="0"/>
    </w:p>
    <w:sectPr>
      <w:footerReference r:id="rId3" w:type="default"/>
      <w:pgSz w:w="11906" w:h="16838"/>
      <w:pgMar w:top="2098" w:right="1587" w:bottom="1871"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jc w:val="center"/>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r>
                            <w:rPr>
                              <w:sz w:val="24"/>
                              <w:szCs w:val="24"/>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AgFWIF1AEAAKYDAAAOAAAAAAAAAAEAIAAA&#10;ACIBAABkcnMvZTJvRG9jLnhtbFBLBQYAAAAABgAGAFkBAABoBQAAAAA=&#10;">
              <v:fill on="f" focussize="0,0"/>
              <v:stroke on="f" weight="1.25pt"/>
              <v:imagedata o:title=""/>
              <o:lock v:ext="edit" aspectratio="f"/>
              <v:textbox inset="0mm,0mm,0mm,0mm" style="mso-fit-shape-to-text:t;">
                <w:txbxContent>
                  <w:p>
                    <w:pPr>
                      <w:pStyle w:val="5"/>
                      <w:jc w:val="center"/>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r>
                      <w:rPr>
                        <w:sz w:val="24"/>
                        <w:szCs w:val="24"/>
                      </w:rPr>
                      <w:t xml:space="preserve"> —</w:t>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hYWMzN2M3M2I4MGFhYjhiODNiM2U5NWExZGNmNDIifQ=="/>
  </w:docVars>
  <w:rsids>
    <w:rsidRoot w:val="00000000"/>
    <w:rsid w:val="014E4831"/>
    <w:rsid w:val="01515CBC"/>
    <w:rsid w:val="02262316"/>
    <w:rsid w:val="0274440D"/>
    <w:rsid w:val="06363CE4"/>
    <w:rsid w:val="082233BA"/>
    <w:rsid w:val="09E70020"/>
    <w:rsid w:val="0BF907E6"/>
    <w:rsid w:val="0CF16AD2"/>
    <w:rsid w:val="0F492308"/>
    <w:rsid w:val="0F571E15"/>
    <w:rsid w:val="126A499B"/>
    <w:rsid w:val="12A61C7B"/>
    <w:rsid w:val="12BC78AF"/>
    <w:rsid w:val="144D6A10"/>
    <w:rsid w:val="16F629B9"/>
    <w:rsid w:val="17171279"/>
    <w:rsid w:val="1932673E"/>
    <w:rsid w:val="1D4C18AD"/>
    <w:rsid w:val="1EE61241"/>
    <w:rsid w:val="1F5E4382"/>
    <w:rsid w:val="21A5130A"/>
    <w:rsid w:val="23963EE0"/>
    <w:rsid w:val="24365040"/>
    <w:rsid w:val="244F74BE"/>
    <w:rsid w:val="27942C73"/>
    <w:rsid w:val="27E6053F"/>
    <w:rsid w:val="29575C73"/>
    <w:rsid w:val="2A4F436E"/>
    <w:rsid w:val="2C5A3F68"/>
    <w:rsid w:val="2DC74427"/>
    <w:rsid w:val="30C36F47"/>
    <w:rsid w:val="322D31E9"/>
    <w:rsid w:val="33122EBD"/>
    <w:rsid w:val="35780FBB"/>
    <w:rsid w:val="37E31511"/>
    <w:rsid w:val="39BA00DD"/>
    <w:rsid w:val="39F021FE"/>
    <w:rsid w:val="3AC94C41"/>
    <w:rsid w:val="3C75203E"/>
    <w:rsid w:val="45C30BBF"/>
    <w:rsid w:val="46D303D0"/>
    <w:rsid w:val="49926934"/>
    <w:rsid w:val="4ADB1C35"/>
    <w:rsid w:val="4BF722AF"/>
    <w:rsid w:val="4C327A06"/>
    <w:rsid w:val="4C5A47AA"/>
    <w:rsid w:val="4C906389"/>
    <w:rsid w:val="4CFD3B78"/>
    <w:rsid w:val="4D930C30"/>
    <w:rsid w:val="4DD1554D"/>
    <w:rsid w:val="4E430FC5"/>
    <w:rsid w:val="4E5C595C"/>
    <w:rsid w:val="4EC64BBD"/>
    <w:rsid w:val="4FE442AD"/>
    <w:rsid w:val="500E3960"/>
    <w:rsid w:val="54154FEB"/>
    <w:rsid w:val="547043A9"/>
    <w:rsid w:val="552B1DC7"/>
    <w:rsid w:val="57496970"/>
    <w:rsid w:val="59A52FCB"/>
    <w:rsid w:val="5A342480"/>
    <w:rsid w:val="5A4C14B5"/>
    <w:rsid w:val="5A6A1255"/>
    <w:rsid w:val="5C3B6C3F"/>
    <w:rsid w:val="5C7B2FBB"/>
    <w:rsid w:val="5CDB553B"/>
    <w:rsid w:val="5DEA5FE9"/>
    <w:rsid w:val="5E2F22B0"/>
    <w:rsid w:val="5F750405"/>
    <w:rsid w:val="609428CC"/>
    <w:rsid w:val="60CC5D68"/>
    <w:rsid w:val="615B5885"/>
    <w:rsid w:val="632E3C78"/>
    <w:rsid w:val="63B4096D"/>
    <w:rsid w:val="63C51495"/>
    <w:rsid w:val="643E27B6"/>
    <w:rsid w:val="6654782C"/>
    <w:rsid w:val="66B253C5"/>
    <w:rsid w:val="66F40270"/>
    <w:rsid w:val="675B2367"/>
    <w:rsid w:val="67B04332"/>
    <w:rsid w:val="685C7BAA"/>
    <w:rsid w:val="68BB2BE1"/>
    <w:rsid w:val="699D1A30"/>
    <w:rsid w:val="6D147885"/>
    <w:rsid w:val="6D976181"/>
    <w:rsid w:val="6DC01176"/>
    <w:rsid w:val="709B04C9"/>
    <w:rsid w:val="71BE49AA"/>
    <w:rsid w:val="724A3F59"/>
    <w:rsid w:val="72C22F53"/>
    <w:rsid w:val="73FD136B"/>
    <w:rsid w:val="75130529"/>
    <w:rsid w:val="76065A31"/>
    <w:rsid w:val="77D47690"/>
    <w:rsid w:val="78C86137"/>
    <w:rsid w:val="78EC2E6B"/>
    <w:rsid w:val="79FE105C"/>
    <w:rsid w:val="7A9B3AB3"/>
    <w:rsid w:val="7A9F32A4"/>
    <w:rsid w:val="7AD623EF"/>
    <w:rsid w:val="7B5178B1"/>
    <w:rsid w:val="7BDD2045"/>
    <w:rsid w:val="7C2E020C"/>
    <w:rsid w:val="7CDA1DE4"/>
    <w:rsid w:val="7F8A5A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Times New Roman" w:hAnsi="Times New Roman" w:eastAsia="宋体" w:cs="Times New Roman"/>
      <w:kern w:val="2"/>
      <w:sz w:val="21"/>
      <w:szCs w:val="24"/>
      <w:lang w:val="en-US" w:eastAsia="zh-CN" w:bidi="ar"/>
    </w:rPr>
  </w:style>
  <w:style w:type="paragraph" w:styleId="3">
    <w:name w:val="Body Text Indent"/>
    <w:basedOn w:val="1"/>
    <w:qFormat/>
    <w:uiPriority w:val="0"/>
    <w:pPr>
      <w:spacing w:after="120"/>
      <w:ind w:left="420"/>
    </w:pPr>
    <w:rPr>
      <w:sz w:val="28"/>
    </w:rPr>
  </w:style>
  <w:style w:type="paragraph" w:styleId="4">
    <w:name w:val="Body Text"/>
    <w:basedOn w:val="1"/>
    <w:next w:val="1"/>
    <w:unhideWhenUsed/>
    <w:qFormat/>
    <w:uiPriority w:val="99"/>
    <w:pPr>
      <w:spacing w:after="120" w:afterLines="0" w:afterAutospacing="0" w:line="240" w:lineRule="auto"/>
    </w:pPr>
    <w:rPr>
      <w:rFonts w:ascii="Calibri" w:hAnsi="Calibri" w:eastAsia="宋体" w:cs="黑体"/>
      <w:spacing w:val="0"/>
      <w:sz w:val="21"/>
      <w:szCs w:val="24"/>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style>
  <w:style w:type="paragraph" w:customStyle="1" w:styleId="11">
    <w:name w:val="List Paragraph"/>
    <w:basedOn w:val="1"/>
    <w:qFormat/>
    <w:uiPriority w:val="34"/>
    <w:pPr>
      <w:ind w:firstLine="420" w:firstLineChars="200"/>
    </w:pPr>
  </w:style>
  <w:style w:type="character" w:customStyle="1" w:styleId="12">
    <w:name w:val="页眉 Char"/>
    <w:basedOn w:val="9"/>
    <w:link w:val="6"/>
    <w:semiHidden/>
    <w:qFormat/>
    <w:uiPriority w:val="99"/>
    <w:rPr>
      <w:rFonts w:ascii="Times New Roman" w:hAnsi="Times New Roman" w:eastAsia="宋体" w:cs="Times New Roman"/>
      <w:sz w:val="18"/>
      <w:szCs w:val="18"/>
    </w:rPr>
  </w:style>
  <w:style w:type="character" w:customStyle="1" w:styleId="13">
    <w:name w:val="页脚 Char"/>
    <w:basedOn w:val="9"/>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1463</Words>
  <Characters>1486</Characters>
  <Lines>7</Lines>
  <Paragraphs>2</Paragraphs>
  <TotalTime>1</TotalTime>
  <ScaleCrop>false</ScaleCrop>
  <LinksUpToDate>false</LinksUpToDate>
  <CharactersWithSpaces>1538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2018-02-22T08:28:00Z</dcterms:created>
  <dc:creator>Administrator</dc:creator>
  <cp:lastModifiedBy>晨飞</cp:lastModifiedBy>
  <cp:lastPrinted>2023-07-21T09:18:00Z</cp:lastPrinted>
  <dcterms:modified xsi:type="dcterms:W3CDTF">2023-07-21T09:28:31Z</dcterms:modified>
  <dc:title>许人防〔2018〕号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3E514CF4A0D14BE6A844AA2790B9BE5E_13</vt:lpwstr>
  </property>
</Properties>
</file>